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8" w:rsidRDefault="00D01D78" w:rsidP="00D01D78">
      <w:pPr>
        <w:shd w:val="clear" w:color="auto" w:fill="FFFFFF"/>
        <w:spacing w:after="0" w:line="240" w:lineRule="auto"/>
        <w:ind w:left="4253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Ирбитское муниципальное образование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«Знаменская средняя общеобразовательная школа»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(МОУ «Знаменская СОШ»)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Приложение № __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к ООП ООО МОУ «Знаменская СОШ»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 учебного предмета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«Физическая культура»</w:t>
      </w:r>
    </w:p>
    <w:p w:rsidR="00263CCA" w:rsidRDefault="00263CCA" w:rsidP="00263CCA">
      <w:pPr>
        <w:shd w:val="clear" w:color="auto" w:fill="FFFFFF"/>
        <w:tabs>
          <w:tab w:val="left" w:pos="3450"/>
        </w:tabs>
        <w:spacing w:after="0" w:line="240" w:lineRule="auto"/>
        <w:rPr>
          <w:rFonts w:ascii="Times New Roman" w:eastAsia="Calibri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  (спортивные игры)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основное общее образование</w:t>
      </w:r>
    </w:p>
    <w:p w:rsidR="00263CCA" w:rsidRDefault="00263CCA" w:rsidP="00263C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(ФГОС ООО)</w:t>
      </w:r>
    </w:p>
    <w:p w:rsidR="00D01D78" w:rsidRDefault="00263CCA" w:rsidP="00263CCA">
      <w:pPr>
        <w:shd w:val="clear" w:color="auto" w:fill="FFFFFF"/>
        <w:spacing w:after="0" w:line="240" w:lineRule="auto"/>
        <w:ind w:left="4253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Style w:val="dash041e005f0431005f044b005f0447005f043d005f044b005f0439005f005fchar1char1"/>
          <w:b/>
        </w:rPr>
        <w:br w:type="page"/>
      </w:r>
    </w:p>
    <w:p w:rsidR="00D01D78" w:rsidRDefault="00D01D78" w:rsidP="00D01D7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D01D78" w:rsidRDefault="00D01D78" w:rsidP="00D01D7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01D78" w:rsidRDefault="00D01D78" w:rsidP="00D01D7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01D78" w:rsidRPr="00263CCA" w:rsidRDefault="00D01D78" w:rsidP="00263C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 </w:t>
      </w:r>
    </w:p>
    <w:p w:rsidR="00D01D78" w:rsidRDefault="00D01D78" w:rsidP="00D01D78">
      <w:pPr>
        <w:rPr>
          <w:rFonts w:ascii="Times New Roman" w:eastAsia="Calibri" w:hAnsi="Times New Roman"/>
          <w:sz w:val="24"/>
          <w:szCs w:val="24"/>
        </w:rPr>
      </w:pPr>
    </w:p>
    <w:p w:rsidR="00D01D78" w:rsidRPr="00263CCA" w:rsidRDefault="00263CCA" w:rsidP="00D01D7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D01D78">
        <w:rPr>
          <w:rFonts w:ascii="Times New Roman" w:eastAsia="Calibri" w:hAnsi="Times New Roman"/>
          <w:b/>
          <w:sz w:val="24"/>
          <w:szCs w:val="24"/>
        </w:rPr>
        <w:t>1.</w:t>
      </w:r>
      <w:r w:rsidR="00D01D78">
        <w:rPr>
          <w:rFonts w:ascii="Times New Roman" w:eastAsia="Times New Roman" w:hAnsi="Times New Roman"/>
          <w:b/>
          <w:sz w:val="28"/>
          <w:szCs w:val="28"/>
        </w:rPr>
        <w:t>Планируемые результаты изучения учебного предмета «Физическая культура</w:t>
      </w:r>
      <w:r w:rsidR="001922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92228" w:rsidRPr="00192228">
        <w:rPr>
          <w:rFonts w:ascii="Times New Roman" w:eastAsia="Calibri" w:hAnsi="Times New Roman"/>
          <w:b/>
          <w:sz w:val="24"/>
          <w:szCs w:val="24"/>
        </w:rPr>
        <w:t>(Спортивные  игры)</w:t>
      </w:r>
      <w:r w:rsidR="00D01D78" w:rsidRPr="00192228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/>
          <w:bCs/>
          <w:sz w:val="24"/>
          <w:szCs w:val="24"/>
        </w:rPr>
      </w:pP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</w:rPr>
      </w:pPr>
      <w:r>
        <w:rPr>
          <w:rFonts w:ascii="SchoolBookAC" w:eastAsia="Times New Roman" w:hAnsi="SchoolBookAC"/>
          <w:bCs/>
          <w:sz w:val="24"/>
          <w:szCs w:val="24"/>
        </w:rPr>
        <w:t xml:space="preserve">Планируемые результаты опираются на </w:t>
      </w:r>
      <w:r>
        <w:rPr>
          <w:rFonts w:ascii="SchoolBookAC" w:eastAsia="Times New Roman" w:hAnsi="SchoolBookAC"/>
          <w:b/>
          <w:bCs/>
          <w:sz w:val="24"/>
          <w:szCs w:val="24"/>
        </w:rPr>
        <w:t>ведущие целевые установки</w:t>
      </w:r>
      <w:r>
        <w:rPr>
          <w:rFonts w:ascii="SchoolBookAC" w:eastAsia="Times New Roman" w:hAnsi="SchoolBookAC"/>
          <w:b/>
          <w:sz w:val="24"/>
          <w:szCs w:val="24"/>
        </w:rPr>
        <w:t xml:space="preserve">, </w:t>
      </w:r>
      <w:r>
        <w:rPr>
          <w:rFonts w:ascii="SchoolBookAC" w:eastAsia="Times New Roman" w:hAnsi="SchoolBookAC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</w:rPr>
      </w:pPr>
      <w:r>
        <w:rPr>
          <w:rFonts w:ascii="SchoolBookAC" w:eastAsia="Times New Roman" w:hAnsi="SchoolBookAC"/>
          <w:bCs/>
          <w:sz w:val="24"/>
          <w:szCs w:val="24"/>
        </w:rPr>
        <w:t>В стру</w:t>
      </w:r>
      <w:r>
        <w:rPr>
          <w:rFonts w:ascii="SchoolBookAC" w:eastAsia="Times New Roman" w:hAnsi="SchoolBookAC"/>
          <w:sz w:val="24"/>
          <w:szCs w:val="24"/>
        </w:rPr>
        <w:t xml:space="preserve">ктуре планируемых результатов выделяется </w:t>
      </w:r>
      <w:r>
        <w:rPr>
          <w:rFonts w:ascii="SchoolBookAC" w:eastAsia="Times New Roman" w:hAnsi="SchoolBookAC"/>
          <w:b/>
          <w:sz w:val="24"/>
          <w:szCs w:val="24"/>
        </w:rPr>
        <w:t xml:space="preserve">следующие группы: 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/>
          <w:sz w:val="24"/>
          <w:szCs w:val="24"/>
        </w:rPr>
      </w:pPr>
      <w:r>
        <w:rPr>
          <w:rFonts w:ascii="SchoolBookAC" w:eastAsia="Times New Roman" w:hAnsi="SchoolBookAC"/>
          <w:b/>
          <w:sz w:val="24"/>
          <w:szCs w:val="24"/>
        </w:rPr>
        <w:t xml:space="preserve">1. Личностные результаты </w:t>
      </w:r>
      <w:r>
        <w:rPr>
          <w:rFonts w:ascii="SchoolBookAC" w:eastAsia="Times New Roman" w:hAnsi="SchoolBookAC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Fonts w:ascii="SchoolBookAC" w:eastAsia="Times New Roman" w:hAnsi="SchoolBookAC"/>
          <w:b/>
          <w:sz w:val="24"/>
          <w:szCs w:val="24"/>
        </w:rPr>
        <w:t xml:space="preserve">исключительно </w:t>
      </w:r>
      <w:proofErr w:type="spellStart"/>
      <w:r>
        <w:rPr>
          <w:rFonts w:ascii="SchoolBookAC" w:eastAsia="Times New Roman" w:hAnsi="SchoolBookAC"/>
          <w:b/>
          <w:sz w:val="24"/>
          <w:szCs w:val="24"/>
        </w:rPr>
        <w:t>неперсонифицированной</w:t>
      </w:r>
      <w:proofErr w:type="spellEnd"/>
      <w:r>
        <w:rPr>
          <w:rFonts w:ascii="SchoolBookAC" w:eastAsia="Times New Roman" w:hAnsi="SchoolBookAC"/>
          <w:sz w:val="24"/>
          <w:szCs w:val="24"/>
        </w:rPr>
        <w:t xml:space="preserve"> информации.</w:t>
      </w:r>
      <w:r>
        <w:rPr>
          <w:rFonts w:ascii="Calibri" w:eastAsia="Times New Roman" w:hAnsi="Calibri"/>
          <w:sz w:val="24"/>
          <w:szCs w:val="24"/>
        </w:rPr>
        <w:t xml:space="preserve"> 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результатов. 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Предметные результаты </w:t>
      </w:r>
      <w:r>
        <w:rPr>
          <w:rFonts w:ascii="Times New Roman" w:eastAsia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Предметные результаты приводятся в блоках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отдельные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неперсонифицированной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дифференциации требований</w:t>
      </w:r>
      <w:r>
        <w:rPr>
          <w:rFonts w:ascii="Times New Roman" w:eastAsia="Times New Roman" w:hAnsi="Times New Roman"/>
          <w:sz w:val="24"/>
          <w:szCs w:val="24"/>
        </w:rPr>
        <w:t xml:space="preserve"> к подготовке обучающихся.</w:t>
      </w: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 результаты освоения учебного предмета «Физическая культура</w:t>
      </w:r>
      <w:r w:rsidR="0019222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192228" w:rsidRPr="00192228">
        <w:rPr>
          <w:rFonts w:ascii="Times New Roman" w:eastAsia="Calibri" w:hAnsi="Times New Roman"/>
          <w:b/>
          <w:sz w:val="24"/>
          <w:szCs w:val="24"/>
          <w:u w:val="single"/>
        </w:rPr>
        <w:t>(Спортивные  игры)</w:t>
      </w:r>
      <w:r w:rsidRPr="00192228">
        <w:rPr>
          <w:rFonts w:ascii="Times New Roman" w:eastAsia="Times New Roman" w:hAnsi="Times New Roman"/>
          <w:b/>
          <w:sz w:val="24"/>
          <w:szCs w:val="24"/>
          <w:u w:val="single"/>
        </w:rPr>
        <w:t>»: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D01D78" w:rsidRDefault="00D01D78" w:rsidP="00D01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7.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результаты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освоения учебного предмета «Физическая культура</w:t>
      </w:r>
      <w:r w:rsidR="0019222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192228" w:rsidRPr="00192228">
        <w:rPr>
          <w:rFonts w:ascii="Times New Roman" w:eastAsia="Calibri" w:hAnsi="Times New Roman"/>
          <w:b/>
          <w:sz w:val="24"/>
          <w:szCs w:val="24"/>
        </w:rPr>
        <w:t>(</w:t>
      </w:r>
      <w:r w:rsidR="00192228" w:rsidRPr="00192228">
        <w:rPr>
          <w:rFonts w:ascii="Times New Roman" w:eastAsia="Calibri" w:hAnsi="Times New Roman"/>
          <w:b/>
          <w:sz w:val="24"/>
          <w:szCs w:val="24"/>
          <w:u w:val="single"/>
        </w:rPr>
        <w:t>Спортивные  игры)</w:t>
      </w:r>
      <w:r w:rsidRPr="00192228">
        <w:rPr>
          <w:rFonts w:ascii="Times New Roman" w:eastAsia="Times New Roman" w:hAnsi="Times New Roman"/>
          <w:b/>
          <w:sz w:val="24"/>
          <w:szCs w:val="24"/>
          <w:u w:val="single"/>
        </w:rPr>
        <w:t>»: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понятия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понятий,  таких, как система,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уроках по учебному предмету «Физическая культура» будет продолжена работа по формированию и развитию </w:t>
      </w:r>
      <w:r>
        <w:rPr>
          <w:rFonts w:ascii="Times New Roman" w:eastAsia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eastAsia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досугового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>
        <w:rPr>
          <w:rFonts w:ascii="Times New Roman" w:eastAsia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eastAsia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ходе изучения учебного предмета «Физическая культура» обучающиеся </w:t>
      </w:r>
      <w:r>
        <w:rPr>
          <w:rFonts w:ascii="Times New Roman" w:eastAsia="Times New Roman" w:hAnsi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1D78" w:rsidRDefault="00D01D78" w:rsidP="00D01D78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соответствии с изменяющейся ситуацией.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D01D78" w:rsidRDefault="00D01D78" w:rsidP="00D01D7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rFonts w:ascii="Times New Roman" w:eastAsia="Times New Roman" w:hAnsi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переводить сложную по составу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многоаспектную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текстовое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 наоборот;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анализировать/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рефлексировать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опыт разработки и реализации учебного проекта, </w:t>
      </w:r>
      <w:r>
        <w:rPr>
          <w:rFonts w:ascii="Times New Roman" w:eastAsia="Times New Roman" w:hAnsi="Times New Roman"/>
          <w:sz w:val="24"/>
          <w:szCs w:val="24"/>
        </w:rPr>
        <w:lastRenderedPageBreak/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Смысловое чтение.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резюмировать главную идею текста;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non-fiction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критически оценивать содержание и форму текста.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D01D78" w:rsidRDefault="00D01D78" w:rsidP="00D01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D01D78" w:rsidRDefault="00D01D78" w:rsidP="00D01D7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корректно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предлагать альтернативное решение в конфликтной ситуации;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1D78" w:rsidRDefault="00D01D78" w:rsidP="00D01D7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 учебного предмета «Физическая культура</w:t>
      </w:r>
      <w:r w:rsidR="00192228">
        <w:rPr>
          <w:rFonts w:ascii="Times New Roman" w:hAnsi="Times New Roman"/>
          <w:b/>
          <w:sz w:val="24"/>
          <w:szCs w:val="24"/>
        </w:rPr>
        <w:t xml:space="preserve"> </w:t>
      </w:r>
      <w:r w:rsidR="00192228" w:rsidRPr="00192228">
        <w:rPr>
          <w:rFonts w:ascii="Times New Roman" w:eastAsia="Calibri" w:hAnsi="Times New Roman"/>
          <w:b/>
          <w:sz w:val="24"/>
          <w:szCs w:val="24"/>
        </w:rPr>
        <w:t>(Спортивные  игры)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D01D78" w:rsidRDefault="00D01D78" w:rsidP="00D01D78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01D78" w:rsidRDefault="00D01D78" w:rsidP="00D01D78">
      <w:pPr>
        <w:pStyle w:val="dash041e0431044b0447043d044b0439"/>
        <w:ind w:firstLine="567"/>
        <w:jc w:val="both"/>
      </w:pPr>
      <w:proofErr w:type="gramStart"/>
      <w:r>
        <w:rPr>
          <w:rStyle w:val="dash041e0431044b0447043d044b0439char1"/>
          <w:rFonts w:eastAsia="Calibri"/>
        </w:rPr>
        <w:t xml:space="preserve">2) овладение системой знаний о физическом совершенствовании человека, </w:t>
      </w:r>
      <w: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rFonts w:eastAsia="Calibri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rFonts w:eastAsia="Calibri"/>
          <w:color w:val="BFBFBF"/>
        </w:rPr>
        <w:t xml:space="preserve"> </w:t>
      </w:r>
      <w:r>
        <w:rPr>
          <w:rStyle w:val="dash041e0431044b0447043d044b0439char1"/>
          <w:rFonts w:eastAsia="Calibri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rPr>
          <w:rStyle w:val="dash041e0431044b0447043d044b0439char1"/>
          <w:rFonts w:eastAsia="Calibri"/>
        </w:rPr>
        <w:t xml:space="preserve"> занятий, включать их в режим учебного дня и учебной недели;</w:t>
      </w:r>
      <w:r>
        <w:t xml:space="preserve"> </w:t>
      </w:r>
    </w:p>
    <w:p w:rsidR="00D01D78" w:rsidRDefault="00D01D78" w:rsidP="00D01D78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01D78" w:rsidRDefault="00D01D78" w:rsidP="00D01D78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Style w:val="dash041e0431044b0447043d044b0439char1"/>
          <w:rFonts w:eastAsia="Calibri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D01D78" w:rsidRDefault="00D01D78" w:rsidP="00D01D78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>
        <w:rPr>
          <w:rStyle w:val="dash041e0431044b0447043d044b0439char1"/>
          <w:rFonts w:eastAsia="Calibri"/>
        </w:rPr>
        <w:t xml:space="preserve">5) формирование умений выполнять комплексы </w:t>
      </w:r>
      <w:proofErr w:type="spellStart"/>
      <w:r>
        <w:rPr>
          <w:rStyle w:val="dash041e0431044b0447043d044b0439char1"/>
          <w:rFonts w:eastAsia="Calibri"/>
        </w:rPr>
        <w:t>общеразвивающих</w:t>
      </w:r>
      <w:proofErr w:type="spellEnd"/>
      <w:r>
        <w:rPr>
          <w:rStyle w:val="dash041e0431044b0447043d044b0439char1"/>
          <w:rFonts w:eastAsia="Calibri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D01D78" w:rsidRDefault="00D01D78" w:rsidP="00D01D78">
      <w:pPr>
        <w:spacing w:after="0" w:line="240" w:lineRule="auto"/>
        <w:ind w:right="-5"/>
        <w:jc w:val="both"/>
        <w:rPr>
          <w:b/>
          <w:lang w:eastAsia="en-US"/>
        </w:rPr>
      </w:pPr>
    </w:p>
    <w:p w:rsidR="00D01D78" w:rsidRDefault="00D01D78" w:rsidP="00D01D78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научится: 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выполнять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общеразвивающие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01D7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D01D78" w:rsidRDefault="00D01D78" w:rsidP="00D01D78">
      <w:pPr>
        <w:spacing w:after="0" w:line="240" w:lineRule="auto"/>
        <w:ind w:right="-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1D78" w:rsidRDefault="00D01D78" w:rsidP="00D01D78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01D78" w:rsidRDefault="00D01D78" w:rsidP="00D01D78">
      <w:pPr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0" w:name="_Toc477781332"/>
    </w:p>
    <w:p w:rsidR="00D01D78" w:rsidRPr="00192228" w:rsidRDefault="00D01D78" w:rsidP="00192228">
      <w:pPr>
        <w:pStyle w:val="1"/>
        <w:jc w:val="left"/>
        <w:rPr>
          <w:sz w:val="28"/>
        </w:rPr>
      </w:pPr>
      <w:r>
        <w:rPr>
          <w:sz w:val="28"/>
        </w:rPr>
        <w:t>2. Содержание учебного предмета «Физическая культура</w:t>
      </w:r>
      <w:r w:rsidR="00192228">
        <w:rPr>
          <w:sz w:val="28"/>
        </w:rPr>
        <w:t xml:space="preserve"> </w:t>
      </w:r>
      <w:r w:rsidR="00192228" w:rsidRPr="00192228">
        <w:rPr>
          <w:rFonts w:eastAsia="Calibri"/>
          <w:szCs w:val="24"/>
        </w:rPr>
        <w:t>(Спортивные  игры)</w:t>
      </w:r>
      <w:r w:rsidRPr="00192228">
        <w:rPr>
          <w:sz w:val="28"/>
        </w:rPr>
        <w:t>»</w:t>
      </w:r>
      <w:bookmarkStart w:id="1" w:name="_GoBack"/>
      <w:bookmarkEnd w:id="0"/>
      <w:bookmarkEnd w:id="1"/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D01D78" w:rsidRPr="00FB4EE3" w:rsidRDefault="00D01D78" w:rsidP="00D01D78">
      <w:pPr>
        <w:pStyle w:val="a7"/>
        <w:ind w:left="0" w:firstLine="709"/>
        <w:jc w:val="both"/>
        <w:rPr>
          <w:rFonts w:ascii="Times New Roman" w:hAnsi="Times New Roman"/>
        </w:rPr>
      </w:pPr>
      <w:r w:rsidRPr="00FB4EE3">
        <w:rPr>
          <w:rFonts w:ascii="Times New Roman" w:hAnsi="Times New Roman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FB4EE3">
        <w:rPr>
          <w:rFonts w:ascii="Times New Roman" w:hAnsi="Times New Roman"/>
        </w:rPr>
        <w:t xml:space="preserve">. </w:t>
      </w:r>
      <w:r w:rsidRPr="00FB4EE3">
        <w:rPr>
          <w:rFonts w:ascii="Times New Roman" w:hAnsi="Times New Roman"/>
          <w:i/>
        </w:rPr>
        <w:t>Современные Олимпийские игры.</w:t>
      </w:r>
      <w:r w:rsidRPr="00FB4EE3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D01D78" w:rsidRPr="00FB4EE3" w:rsidRDefault="00D01D78" w:rsidP="00D01D78">
      <w:pPr>
        <w:pStyle w:val="a7"/>
        <w:ind w:left="0" w:firstLine="709"/>
        <w:jc w:val="both"/>
        <w:rPr>
          <w:rFonts w:ascii="Times New Roman" w:hAnsi="Times New Roman"/>
          <w:b/>
          <w:color w:val="FF0000"/>
        </w:rPr>
      </w:pPr>
    </w:p>
    <w:p w:rsidR="00D01D78" w:rsidRDefault="00D01D78" w:rsidP="00D01D78">
      <w:pPr>
        <w:pStyle w:val="a7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Физическая культура человека</w:t>
      </w:r>
    </w:p>
    <w:p w:rsidR="00D01D78" w:rsidRDefault="00D01D78" w:rsidP="00D01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D01D78" w:rsidRDefault="00D01D78" w:rsidP="00D01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78" w:rsidRDefault="00D01D78" w:rsidP="00D01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D01D78" w:rsidRDefault="00D01D78" w:rsidP="00D01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D01D78" w:rsidRDefault="00D01D78" w:rsidP="00D01D78">
      <w:pPr>
        <w:pStyle w:val="a7"/>
        <w:numPr>
          <w:ilvl w:val="0"/>
          <w:numId w:val="11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</w:t>
      </w:r>
      <w:r w:rsidR="00C5385E">
        <w:rPr>
          <w:rFonts w:ascii="Times New Roman" w:hAnsi="Times New Roman"/>
        </w:rPr>
        <w:t>омплексов для утренней зарядки</w:t>
      </w:r>
      <w:r>
        <w:rPr>
          <w:rFonts w:ascii="Times New Roman" w:hAnsi="Times New Roman"/>
        </w:rPr>
        <w:t xml:space="preserve">, коррекции осанки и телосложения. Организация досуга средствами физической культуры. 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D01D78" w:rsidRDefault="00D01D78" w:rsidP="00C538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Физическое совершенствование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Физкультурно-оздоровительная деятельность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Спортивно-оздоровительная деятельность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Спортивные игры: технико-тактические действия и приемы игры в футбол, </w:t>
      </w:r>
      <w:r>
        <w:rPr>
          <w:rFonts w:ascii="Times New Roman" w:hAnsi="Times New Roman"/>
          <w:i/>
          <w:sz w:val="24"/>
          <w:szCs w:val="24"/>
        </w:rPr>
        <w:t>мини-футбол</w:t>
      </w:r>
      <w:r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Прикладно-ориентированная</w:t>
      </w:r>
      <w:proofErr w:type="spellEnd"/>
      <w:r>
        <w:rPr>
          <w:rFonts w:ascii="Times New Roman" w:hAnsi="Times New Roman"/>
          <w:b/>
        </w:rPr>
        <w:t xml:space="preserve"> физкультурная деятельность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</w:t>
      </w:r>
      <w:r w:rsidR="00C5385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Общефизическая подготовка. </w:t>
      </w:r>
      <w:proofErr w:type="gramStart"/>
      <w:r>
        <w:rPr>
          <w:rFonts w:ascii="Times New Roman" w:hAnsi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(спортивные игры).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78" w:rsidRDefault="00D01D78" w:rsidP="00D01D7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D01D78" w:rsidRDefault="00D01D78" w:rsidP="00D01D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 xml:space="preserve">                                                </w:t>
      </w:r>
    </w:p>
    <w:p w:rsidR="00922423" w:rsidRDefault="00922423" w:rsidP="00D01D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D01D7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AC1EB5">
        <w:rPr>
          <w:rFonts w:ascii="Times New Roman" w:eastAsia="Calibri" w:hAnsi="Times New Roman"/>
          <w:b/>
          <w:bCs/>
          <w:sz w:val="24"/>
          <w:szCs w:val="24"/>
        </w:rPr>
        <w:t>5 класс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7368"/>
        <w:gridCol w:w="992"/>
      </w:tblGrid>
      <w:tr w:rsidR="00D01D78" w:rsidRPr="00AC1EB5" w:rsidTr="00D01D78">
        <w:trPr>
          <w:trHeight w:val="3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 w:rsidP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  <w:p w:rsidR="00D01D78" w:rsidRPr="00AC1EB5" w:rsidRDefault="00D01D78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 w:rsidP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часов</w:t>
            </w:r>
          </w:p>
        </w:tc>
      </w:tr>
      <w:tr w:rsidR="00D01D78" w:rsidRPr="00AC1EB5" w:rsidTr="00D01D78">
        <w:trPr>
          <w:trHeight w:val="32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</w:p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Физическая культура как область знаний в процессе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Волейбол.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ТБ: ИОТ-16.10-2019.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Перемещения в стойке, остановки, ускорения.  Передача мяча сверху двумя руками.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526EB2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Самообсуживание</w:t>
            </w:r>
            <w:proofErr w:type="spellEnd"/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обслуживание группы.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мяча снизу над собой</w:t>
            </w:r>
            <w:r w:rsidR="00D01D78"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и передача мяча.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 передача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подача, прием подачи.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подача, прием подачи.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прямого нападающего удара.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Тактические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игровые задания.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 </w:t>
            </w:r>
            <w:r w:rsidR="00E35BDD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игровые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2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AC1EB5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D01D78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ТБ: ИОТ-16.08-2019.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Защитная стойка. Техника передвижений. Остановка в два шага и прыжком. Ловля и передача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стойке. Повороты без мяча и с мячом. Ловля и передача мяча двумя руками от груди и одной от плеча на месте в движении.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направления и скорости.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Бросок мяч одной и двумя руками с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одной и двумя руками в движении после 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в движении после ловли.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Вырывание и выбивание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Защитные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 из освоенных элементов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526EB2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Ответственность перед коллективом.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 w:rsidP="0014419F">
            <w:pPr>
              <w:spacing w:after="0" w:line="240" w:lineRule="auto"/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Футбол.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ТБ: ИОТ-16.11-2019.</w:t>
            </w:r>
            <w:r w:rsidR="0014419F" w:rsidRPr="00D65ECB"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Передвижения. Передачи мяча. Остановка катящегося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 w:rsidP="0014419F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526EB2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Настойчивость.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Удары по воротам.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Удары по воротам.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Тактические действия. Игры и игровые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по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01D78" w:rsidRPr="00D65ECB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922423" w:rsidRPr="00D65ECB" w:rsidRDefault="00D01D78" w:rsidP="00922423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D65ECB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6 класс</w:t>
      </w:r>
      <w:r w:rsidR="00922423" w:rsidRPr="00D65ECB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091"/>
        <w:gridCol w:w="1130"/>
      </w:tblGrid>
      <w:tr w:rsidR="00922423" w:rsidRPr="00D65ECB" w:rsidTr="00922423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часов</w:t>
            </w:r>
          </w:p>
        </w:tc>
      </w:tr>
      <w:tr w:rsidR="00922423" w:rsidRPr="00D65ECB" w:rsidTr="00922423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423" w:rsidRPr="00D65ECB" w:rsidRDefault="00922423" w:rsidP="0092242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423" w:rsidRPr="00D65ECB" w:rsidRDefault="00922423" w:rsidP="0092242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423" w:rsidRPr="00D65ECB" w:rsidRDefault="00922423" w:rsidP="0092242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как область знаний в процессе уроков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23" w:rsidRPr="00D65ECB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</w:t>
            </w: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Инструктаж по ТБ: ИОТ-16.10-2019.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передвижений.  Передачи мяча двумя руками сверху на месте. Передачи мяча над собой.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B2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Перемещения в стойке, остановки, ускорения. </w:t>
            </w: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Передачи и приемы мяча после перемещения.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B2" w:rsidRPr="00D65ECB" w:rsidRDefault="00526EB2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Самообсуживание</w:t>
            </w:r>
            <w:proofErr w:type="spellEnd"/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обслуживание группы. </w:t>
            </w:r>
          </w:p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через сетку.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Нижняя прямая подача.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Нижняя прямая подача, прием подачи.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верхней прямой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Верхняя прямая подача.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прямого нападающего удара.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игровые задания.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14419F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игровые задания.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922423" w:rsidRPr="00D65ECB" w:rsidTr="00922423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ТБ: ИОТ-16.08-2019.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Защитная стойка. Техника передвижений. Остановка в два шага и прыжком. Ловля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стойке. Повороты без мяча и с мячом. Передача мяча одной рукой от плеча.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направления и высоты отскока.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Бросок мяч одной и двумя руками с места.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rPr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после ведения.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в движении после ловли.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Защитные действия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Защитные действия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 из освоенных элементов техники.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526EB2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Ответственность перед коллективом. </w:t>
            </w:r>
            <w:r w:rsidR="00922423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  <w:r w:rsidR="00922423" w:rsidRPr="00D65EC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="00AC1EB5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D65ECB" w:rsidRDefault="00922423" w:rsidP="0014419F">
            <w:pPr>
              <w:spacing w:after="0" w:line="240" w:lineRule="auto"/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ТБ: ИОТ-16.11-2019.</w:t>
            </w:r>
            <w:r w:rsidR="0014419F" w:rsidRPr="00D65ECB"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стойке. Варианты передачи и ведения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Передачи мяча в разных направлениях  на большое расстояние. </w:t>
            </w:r>
            <w:proofErr w:type="gramStart"/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Ведение мяча с ускорением по прямой, по кругу, змейкой. 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526EB2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Настойчивость. </w:t>
            </w:r>
            <w:r w:rsidR="00922423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 с разбега по катящемуся мячу.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Комбинации из освоенных элементов.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D65ECB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 мини-футбол.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D65ECB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01D78" w:rsidRPr="00D65ECB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D01D78" w:rsidRPr="00D65ECB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D65ECB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7 класс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7368"/>
        <w:gridCol w:w="992"/>
      </w:tblGrid>
      <w:tr w:rsidR="00D01D78" w:rsidRPr="00D65ECB" w:rsidTr="00D01D78">
        <w:trPr>
          <w:trHeight w:val="3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  <w:p w:rsidR="00F059E4" w:rsidRPr="00D65ECB" w:rsidRDefault="00F059E4" w:rsidP="00F059E4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часов</w:t>
            </w:r>
          </w:p>
        </w:tc>
      </w:tr>
      <w:tr w:rsidR="00D01D78" w:rsidRPr="00D65ECB" w:rsidTr="00D01D78">
        <w:trPr>
          <w:trHeight w:val="32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как область знаний в процессе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Инструктаж по ТБ: ИОТ-16.10-2019.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стойке, остановки, ускорения.  Прием и передача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техники передвижений, приема и передач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сверху в прыжке.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сверху за голову в опорном положении.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F059E4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</w:rPr>
              <w:t xml:space="preserve">«Культура речи».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подача, прием подачи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Верхняя прямая подача.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прямая подача, прием подачи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 после подбрасывания мяча партнером.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Прямой нападающий удар.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Комбинация: прием, передача,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Технико-тактические действия.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2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AC1EB5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D01D78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Баскетбол.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ТБ: ИОТ-16.08-2019.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Перемещения в стойке, остановки, повороты, ускорения. Ловля и передача мяча в парах.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Сочетание способов передвижений. Ловля и передача мяча в тройках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 с пассивным сопротивлением защитника. Ведение мяча с пассивным сопротивлением защитника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варианты ведения мяча. Бросок мяча в кольцо с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Бросок мяча в кольцо после ведения с пассивным противодействием защитника.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после бега и ловли.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одной рукой от плеча в прыжке.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прыжке. Вырывание и выбивание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прыжке. Защитные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прыжке. Защитные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 Развитие координации.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Технико-тактические действия. Развитие скоростно-силовых качеств.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F059E4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</w:rPr>
              <w:t xml:space="preserve">«Честный поединок» (о принципе </w:t>
            </w:r>
            <w:proofErr w:type="spellStart"/>
            <w:r w:rsidRPr="00D65ECB">
              <w:rPr>
                <w:rFonts w:ascii="Times New Roman" w:hAnsi="Times New Roman"/>
                <w:sz w:val="24"/>
                <w:szCs w:val="24"/>
              </w:rPr>
              <w:t>фейер-плэй</w:t>
            </w:r>
            <w:proofErr w:type="spellEnd"/>
            <w:r w:rsidRPr="00D65ECB">
              <w:rPr>
                <w:rFonts w:ascii="Times New Roman" w:hAnsi="Times New Roman"/>
                <w:sz w:val="24"/>
                <w:szCs w:val="24"/>
              </w:rPr>
              <w:t xml:space="preserve"> в спорте).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по правилам баскетбола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</w:t>
            </w:r>
            <w:r w:rsidR="00AC1EB5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 w:rsidP="0014419F">
            <w:pPr>
              <w:spacing w:after="0" w:line="240" w:lineRule="auto"/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Футбол.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ТБ: ИОТ-16.11-2019.</w:t>
            </w:r>
            <w:r w:rsidR="0014419F" w:rsidRPr="00D65ECB"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перемещений. Передачи мяча внутренней стороной стопы в парах, ведение мяча</w:t>
            </w: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с </w:t>
            </w: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пассивным сопротивлением защитника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Удары по катящемуся и неподвижному  мячу. Остановка катящегося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Удары по воротам на точность.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вратаря. Перехват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F059E4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Взаимопомощь и взаимовыручка.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 мини-футбол.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01D78" w:rsidRPr="00D65ECB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D65EC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D01D78" w:rsidRPr="00D65ECB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D65ECB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8 класс                           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091"/>
        <w:gridCol w:w="1130"/>
      </w:tblGrid>
      <w:tr w:rsidR="00D01D78" w:rsidRPr="00D65ECB" w:rsidTr="00EB0464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часов</w:t>
            </w:r>
          </w:p>
        </w:tc>
      </w:tr>
      <w:tr w:rsidR="00D01D78" w:rsidRPr="00D65ECB" w:rsidTr="00EB0464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как область знаний в процессе уроков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Волейбол.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ТБ: ИОТ-16.10-2019.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передвижений, остановок, поворотов и стоек. Прием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передвижений.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F059E4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Культура общения.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передвижений. Прием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Отбивание мяча кулаком через сетку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Отбивание мяча кулаком через сетку.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и нижняя прямая подачи,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и нижняя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 прямая подача, прием подачи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нападающего удара.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Нападающий удар. Блокирование.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Нападающий удар.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 Игра по правилам.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</w:t>
            </w:r>
            <w:r w:rsidR="00AC1EB5"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EB046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Баскетбол.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ТБ: ИОТ-16.08-2019.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Стойки, перемещения. 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9134D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Проявление инициативы.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перемещения. Ловля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перемещения. Ловля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 с места.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Варианты ведения мяча. Броски мяча в движении.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мяча в прыжке.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 бросок. 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 бросок. 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Сочетание приемов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</w:t>
            </w: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Футбол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 w:rsidP="0014419F">
            <w:pPr>
              <w:spacing w:after="0" w:line="240" w:lineRule="auto"/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Футбол.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ТБ: ИОТ-16.11-2019.</w:t>
            </w:r>
            <w:r w:rsidR="00AC1EB5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 игрока. Передача. Ведение мяча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Остановка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Удары по неподвижному и  катящемуся мячу.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 носком. Удар серединой лба.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9134D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Ответственность за порученное дело.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Вбрасывание мяча из-за боковой линии. Двухсторонняя игра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01D78" w:rsidRPr="00D65ECB" w:rsidRDefault="00D01D78" w:rsidP="00D01D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1D78" w:rsidRPr="00D65ECB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D65ECB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9 класс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091"/>
        <w:gridCol w:w="1130"/>
      </w:tblGrid>
      <w:tr w:rsidR="00D01D78" w:rsidRPr="00D65ECB" w:rsidTr="00EB0464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часов</w:t>
            </w:r>
          </w:p>
        </w:tc>
      </w:tr>
      <w:tr w:rsidR="00D01D78" w:rsidRPr="00D65ECB" w:rsidTr="00EB0464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D65ECB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как область знаний в процессе уроков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</w:t>
            </w:r>
            <w:r w:rsidRPr="00D65EC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Инструктаж по ТБ: ИОТ-16.10-2019.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Перемещения в стойке. Прием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9134D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Хорошие привычки.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перемещения.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и передача мяча. Отбивание мяча кулаком через сетку.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и передача мяча. Приём мяча, отражённого сеткой.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и верхняя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и верхняя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Подачи мяча,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нападающего удара. Блокирование.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Нападающий удар. Развитие двигательных способностей.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Нападающий удар.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перемещений и владение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Тактика игры.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по правилам.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2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</w:t>
            </w:r>
            <w:r w:rsidR="00AC1EB5"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Баскетбол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D65ECB" w:rsidTr="00EB046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Баскетбол.</w:t>
            </w: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Инструктаж по ТБ: ИОТ-16.08-2019.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Перемещения в стойке, остановки, повороты, ускорения. 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Действия без мяча. 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9134D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такое образованность? </w:t>
            </w:r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Ловля и передача мяча. Ведение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rPr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 в кольцо.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 в кольцо.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мяча в кольцо. Вырывание и выбивание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бросков мяча в кольцо. 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мяча в кольцо. Защитные действия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 бросок. Развитие двигательных способностей.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 техники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 в спортивных играх.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 Действия трех нападающих против двух защитников.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игроков в нападении и защите. Игра по правилам.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</w:t>
            </w:r>
            <w:r w:rsidR="00AC1EB5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Pr="00D65EC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D65ECB" w:rsidRDefault="00D01D78" w:rsidP="0014419F">
            <w:pPr>
              <w:spacing w:after="0" w:line="240" w:lineRule="auto"/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Футбол.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ТБ: ИОТ-16.11-2019.</w:t>
            </w:r>
            <w:r w:rsidR="0014419F" w:rsidRPr="00D65ECB">
              <w:t xml:space="preserve"> 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Стойки, </w:t>
            </w:r>
            <w:proofErr w:type="spellStart"/>
            <w:proofErr w:type="gramStart"/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</w:t>
            </w:r>
            <w:r w:rsidR="0014419F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игрока. Передача, ведение мяча. Отбор мяча подкатом.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Удары по летящему мячу.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головой, использование корпуса.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9134D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Уважение соперника. </w:t>
            </w:r>
            <w:proofErr w:type="spellStart"/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Обыгрыш</w:t>
            </w:r>
            <w:proofErr w:type="spellEnd"/>
            <w:r w:rsidR="00D01D78"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сближающихся противников, финты.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Вбрасывание мяча из-за боковой линии. Двухсторонняя игра.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D65ECB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D65ECB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813A95" w:rsidRPr="00D65ECB" w:rsidRDefault="00813A95" w:rsidP="00AC1EB5">
      <w:pPr>
        <w:tabs>
          <w:tab w:val="left" w:pos="3705"/>
        </w:tabs>
      </w:pPr>
    </w:p>
    <w:sectPr w:rsidR="00813A95" w:rsidRPr="00D65ECB" w:rsidSect="0081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824"/>
    <w:rsid w:val="000828B7"/>
    <w:rsid w:val="00116BD5"/>
    <w:rsid w:val="0014419F"/>
    <w:rsid w:val="00192228"/>
    <w:rsid w:val="00192E4D"/>
    <w:rsid w:val="001B641C"/>
    <w:rsid w:val="00263CCA"/>
    <w:rsid w:val="00280D27"/>
    <w:rsid w:val="002A3F32"/>
    <w:rsid w:val="002C7D24"/>
    <w:rsid w:val="004D77B1"/>
    <w:rsid w:val="00526E2D"/>
    <w:rsid w:val="00526EB2"/>
    <w:rsid w:val="00584272"/>
    <w:rsid w:val="005E0AAC"/>
    <w:rsid w:val="00682D50"/>
    <w:rsid w:val="00775C18"/>
    <w:rsid w:val="007A620F"/>
    <w:rsid w:val="00813A95"/>
    <w:rsid w:val="00851F5F"/>
    <w:rsid w:val="008B3F90"/>
    <w:rsid w:val="00906824"/>
    <w:rsid w:val="009134D7"/>
    <w:rsid w:val="00922423"/>
    <w:rsid w:val="00A10E55"/>
    <w:rsid w:val="00A70A86"/>
    <w:rsid w:val="00AC1EB5"/>
    <w:rsid w:val="00BA7B11"/>
    <w:rsid w:val="00C036CD"/>
    <w:rsid w:val="00C5385E"/>
    <w:rsid w:val="00C67870"/>
    <w:rsid w:val="00D01D78"/>
    <w:rsid w:val="00D65ECB"/>
    <w:rsid w:val="00D93A43"/>
    <w:rsid w:val="00DA3552"/>
    <w:rsid w:val="00E35BDD"/>
    <w:rsid w:val="00EA07D7"/>
    <w:rsid w:val="00EB0464"/>
    <w:rsid w:val="00F059E4"/>
    <w:rsid w:val="00FB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2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824"/>
    <w:pPr>
      <w:keepNext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2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06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06824"/>
    <w:rPr>
      <w:rFonts w:ascii="Calibri" w:eastAsia="Calibri" w:hAnsi="Calibri" w:cs="Calibri"/>
    </w:rPr>
  </w:style>
  <w:style w:type="paragraph" w:styleId="a5">
    <w:name w:val="No Spacing"/>
    <w:qFormat/>
    <w:rsid w:val="00906824"/>
    <w:pPr>
      <w:spacing w:after="0" w:line="240" w:lineRule="auto"/>
    </w:pPr>
  </w:style>
  <w:style w:type="character" w:customStyle="1" w:styleId="a6">
    <w:name w:val="Абзац списка Знак"/>
    <w:link w:val="a7"/>
    <w:uiPriority w:val="99"/>
    <w:locked/>
    <w:rsid w:val="0090682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99"/>
    <w:qFormat/>
    <w:rsid w:val="0090682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0682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dash041e0431044b0447043d044b0439">
    <w:name w:val="dash041e_0431_044b_0447_043d_044b_0439"/>
    <w:basedOn w:val="a"/>
    <w:rsid w:val="009068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06824"/>
    <w:rPr>
      <w:color w:val="106BBE"/>
    </w:rPr>
  </w:style>
  <w:style w:type="character" w:customStyle="1" w:styleId="dash041e0431044b0447043d044b0439char1">
    <w:name w:val="dash041e_0431_044b_0447_043d_044b_0439__char1"/>
    <w:rsid w:val="009068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39"/>
    <w:rsid w:val="00D01D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3C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7124-756C-45FF-AE1A-1088B51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32</cp:revision>
  <dcterms:created xsi:type="dcterms:W3CDTF">2020-08-26T14:53:00Z</dcterms:created>
  <dcterms:modified xsi:type="dcterms:W3CDTF">2021-08-27T13:16:00Z</dcterms:modified>
</cp:coreProperties>
</file>